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0"/>
        <w:gridCol w:w="2896"/>
        <w:gridCol w:w="720"/>
        <w:gridCol w:w="1092"/>
        <w:gridCol w:w="1243"/>
        <w:gridCol w:w="2479"/>
        <w:gridCol w:w="970"/>
        <w:gridCol w:w="2351"/>
      </w:tblGrid>
      <w:tr w:rsidR="00441454" w:rsidRPr="002A1F95" w:rsidTr="00817939">
        <w:trPr>
          <w:cantSplit/>
          <w:trHeight w:val="340"/>
          <w:jc w:val="center"/>
        </w:trPr>
        <w:tc>
          <w:tcPr>
            <w:tcW w:w="857" w:type="pct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Fecha  de Planeación</w:t>
            </w:r>
          </w:p>
        </w:tc>
        <w:tc>
          <w:tcPr>
            <w:tcW w:w="1021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817939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16 de </w:t>
            </w:r>
            <w:r w:rsidR="00E35473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</w:t>
            </w:r>
            <w:r w:rsidR="00441454"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ero de 201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4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385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566B2D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6</w:t>
            </w:r>
            <w:r w:rsidR="00B3631C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- 4</w:t>
            </w:r>
            <w:bookmarkStart w:id="0" w:name="_GoBack"/>
            <w:bookmarkEnd w:id="0"/>
          </w:p>
        </w:tc>
        <w:tc>
          <w:tcPr>
            <w:tcW w:w="438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Asignatura</w:t>
            </w:r>
          </w:p>
        </w:tc>
        <w:tc>
          <w:tcPr>
            <w:tcW w:w="874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Aritmética y geometría</w:t>
            </w:r>
          </w:p>
        </w:tc>
        <w:tc>
          <w:tcPr>
            <w:tcW w:w="342" w:type="pct"/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830" w:type="pct"/>
            <w:tcBorders>
              <w:bottom w:val="single" w:sz="8" w:space="0" w:color="4D4D4D"/>
            </w:tcBorders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Luis Lozada Ruiz</w:t>
            </w:r>
          </w:p>
        </w:tc>
      </w:tr>
    </w:tbl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es-ES"/>
        </w:rPr>
      </w:pPr>
    </w:p>
    <w:p w:rsidR="00441454" w:rsidRPr="002A1F95" w:rsidRDefault="00441454" w:rsidP="003846AF">
      <w:pPr>
        <w:tabs>
          <w:tab w:val="left" w:pos="6946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114"/>
        <w:gridCol w:w="2250"/>
        <w:gridCol w:w="1616"/>
        <w:gridCol w:w="4811"/>
        <w:gridCol w:w="1859"/>
        <w:gridCol w:w="1585"/>
      </w:tblGrid>
      <w:tr w:rsidR="00171D5E" w:rsidRPr="002A1F95" w:rsidTr="00171D5E">
        <w:tc>
          <w:tcPr>
            <w:tcW w:w="36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390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Clase No.</w:t>
            </w:r>
          </w:p>
        </w:tc>
        <w:tc>
          <w:tcPr>
            <w:tcW w:w="788" w:type="pct"/>
            <w:shd w:val="clear" w:color="auto" w:fill="D9D9D9"/>
          </w:tcPr>
          <w:p w:rsidR="00441454" w:rsidRPr="002A1F95" w:rsidRDefault="00441454" w:rsidP="003846AF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bCs/>
                <w:kern w:val="32"/>
                <w:sz w:val="18"/>
                <w:szCs w:val="18"/>
                <w:lang w:eastAsia="es-ES"/>
              </w:rPr>
              <w:t>Indicador de desempeño</w:t>
            </w:r>
          </w:p>
        </w:tc>
        <w:tc>
          <w:tcPr>
            <w:tcW w:w="566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1685" w:type="pct"/>
            <w:shd w:val="clear" w:color="auto" w:fill="D9D9D9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Actividades</w:t>
            </w:r>
          </w:p>
        </w:tc>
        <w:tc>
          <w:tcPr>
            <w:tcW w:w="651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Tareas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 Evaluación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21 enero al 25 enero</w:t>
            </w:r>
          </w:p>
        </w:tc>
        <w:tc>
          <w:tcPr>
            <w:tcW w:w="390" w:type="pct"/>
          </w:tcPr>
          <w:p w:rsidR="002A1F95" w:rsidRPr="002A1F95" w:rsidRDefault="002A1F95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1 a la </w:t>
            </w:r>
            <w:r w:rsidR="007E7EC0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88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Familiarizar al estudiante con los contenidos, metodología, criterios de evaluación y  recursos en la asignatura de matemáticas.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Información preliminar del área</w:t>
            </w:r>
          </w:p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Diagnostico</w:t>
            </w:r>
          </w:p>
        </w:tc>
        <w:tc>
          <w:tcPr>
            <w:tcW w:w="1685" w:type="pct"/>
          </w:tcPr>
          <w:p w:rsid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iscut</w:t>
            </w:r>
            <w:r>
              <w:rPr>
                <w:rFonts w:ascii="Verdana" w:hAnsi="Verdana" w:cs="MyriadPro-Regular"/>
                <w:sz w:val="18"/>
                <w:szCs w:val="18"/>
              </w:rPr>
              <w:t>ir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á el significado de algunas frases propuestas como: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Educad a los niños y no tendréis que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castigar al hombre, La buena educación de un pueblo</w:t>
            </w:r>
            <w:r w:rsidR="00EF26CE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se ve reflejada en su grandeza</w:t>
            </w:r>
            <w:r>
              <w:rPr>
                <w:rFonts w:ascii="Verdana" w:hAnsi="Verdana" w:cs="MyriadPro-It"/>
                <w:i/>
                <w:iCs/>
                <w:sz w:val="18"/>
                <w:szCs w:val="18"/>
              </w:rPr>
              <w:t>.</w:t>
            </w:r>
          </w:p>
          <w:p w:rsidR="002A1F95" w:rsidRPr="00B24AB2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dará la información metodológica, evaluación y recursos del área.</w:t>
            </w:r>
          </w:p>
          <w:p w:rsidR="002A1F95" w:rsidRPr="002A1F95" w:rsidRDefault="002A1F95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 w:rsidRPr="00B24AB2">
              <w:rPr>
                <w:rFonts w:ascii="Verdana" w:hAnsi="Verdana" w:cs="MyriadPro-It"/>
                <w:iCs/>
                <w:sz w:val="18"/>
                <w:szCs w:val="18"/>
              </w:rPr>
              <w:t>Se realizara una prueba oral para ubicar a los estudiantes en un contexto cognitivo de entrada</w:t>
            </w:r>
            <w:r w:rsidR="00B24AB2" w:rsidRPr="00B24AB2">
              <w:rPr>
                <w:rFonts w:ascii="Verdana" w:hAnsi="Verdana" w:cs="MyriadPro-It"/>
                <w:iCs/>
                <w:sz w:val="18"/>
                <w:szCs w:val="18"/>
              </w:rPr>
              <w:t>.</w:t>
            </w:r>
          </w:p>
        </w:tc>
        <w:tc>
          <w:tcPr>
            <w:tcW w:w="651" w:type="pct"/>
          </w:tcPr>
          <w:p w:rsid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Lectura y socialización de la guía 00</w:t>
            </w:r>
          </w:p>
          <w:p w:rsidR="00B24AB2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conjuntos numéricos y sus operaciones.</w:t>
            </w:r>
          </w:p>
        </w:tc>
        <w:tc>
          <w:tcPr>
            <w:tcW w:w="555" w:type="pct"/>
          </w:tcPr>
          <w:p w:rsidR="002A1F95" w:rsidRDefault="002A1F95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Participación en la plenaria.</w:t>
            </w: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B24AB2" w:rsidRPr="002A1F95" w:rsidRDefault="00B24AB2" w:rsidP="003846AF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oral diagnostica.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2A1F95" w:rsidRPr="002A1F95" w:rsidRDefault="003846A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28 enero al 1 febrero</w:t>
            </w:r>
          </w:p>
        </w:tc>
        <w:tc>
          <w:tcPr>
            <w:tcW w:w="390" w:type="pct"/>
          </w:tcPr>
          <w:p w:rsidR="002A1F95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  a la 8</w:t>
            </w:r>
          </w:p>
        </w:tc>
        <w:tc>
          <w:tcPr>
            <w:tcW w:w="788" w:type="pct"/>
          </w:tcPr>
          <w:p w:rsidR="002A1F95" w:rsidRPr="002A1F95" w:rsidRDefault="003846A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2A1F95" w:rsidRPr="002A1F95" w:rsidRDefault="002A1F95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trabajara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los estudiantes en el patio </w:t>
            </w:r>
            <w:r>
              <w:rPr>
                <w:rFonts w:ascii="Verdana" w:hAnsi="Verdana" w:cs="MyriadPro-Regular"/>
                <w:sz w:val="18"/>
                <w:szCs w:val="18"/>
              </w:rPr>
              <w:t>y se les indicara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van a realizar actividades con el número que les corresponde en su orden de lista de la clase.  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A una palmada,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dará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orden para que formen conjuntos y se desplacen rápidamente, cada vez que cambia la orden.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pares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impares.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números menores que 18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números mayores de 18.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Formen dos conjuntos: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de los múltiplos de 2 y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B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de los múltiplos de 3.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• Se </w:t>
            </w:r>
            <w:r w:rsidR="00260B61">
              <w:rPr>
                <w:rFonts w:ascii="Verdana" w:hAnsi="Verdana" w:cs="MyriadPro-Regular"/>
                <w:sz w:val="18"/>
                <w:szCs w:val="18"/>
              </w:rPr>
              <w:t>harán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preguntas a medida que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se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va realizando la actividad.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es un conjunto?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¿Cómo pueden representar los conjuntos formados? ¿Cómo se pueden determinar?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¿Qué clase de conjuntos se han formado?</w:t>
            </w:r>
          </w:p>
          <w:p w:rsidR="002B0BAB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• ¿Existen elementos que pertenecen a ambos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lastRenderedPageBreak/>
              <w:t>conjuntos?</w:t>
            </w:r>
          </w:p>
          <w:p w:rsidR="002A1F95" w:rsidRPr="002A1F95" w:rsidRDefault="002B0BAB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Si se quieren formar tres conjuntos sin elementos comunes, ¿cómo se representarían?</w:t>
            </w:r>
          </w:p>
        </w:tc>
        <w:tc>
          <w:tcPr>
            <w:tcW w:w="651" w:type="pct"/>
          </w:tcPr>
          <w:p w:rsidR="003846AF" w:rsidRDefault="003846A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Lectura y socialización de la gu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ía 01 orientaciones conceptuales</w:t>
            </w:r>
          </w:p>
          <w:p w:rsidR="002A1F95" w:rsidRPr="002A1F95" w:rsidRDefault="002A1F95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2A1F95" w:rsidRDefault="003846A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 preguntas abiertas.</w:t>
            </w:r>
          </w:p>
          <w:p w:rsidR="007854CF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854CF" w:rsidRPr="002A1F95" w:rsidRDefault="007854C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actividad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4 febrero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9 a la 13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Reconoce las características d</w:t>
            </w:r>
            <w:r>
              <w:rPr>
                <w:rFonts w:ascii="Verdana" w:hAnsi="Verdana" w:cs="Tahoma"/>
                <w:sz w:val="18"/>
                <w:szCs w:val="18"/>
              </w:rPr>
              <w:t>e los conjuntos y determina su clasificación.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resaltaran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las diferentes formas de simbolizar un conjunto determ</w:t>
            </w:r>
            <w:r>
              <w:rPr>
                <w:rFonts w:ascii="Verdana" w:hAnsi="Verdana" w:cs="MyriadPro-Regular"/>
                <w:sz w:val="18"/>
                <w:szCs w:val="18"/>
              </w:rPr>
              <w:t>inado por comprensión.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en el tablero, cómo se lee el conjunto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determinado por comprensión.</w:t>
            </w:r>
          </w:p>
          <w:p w:rsidR="005B67FF" w:rsidRPr="002B0BAB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/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athematicalPi-Four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athematicalPi-Six"/>
                <w:sz w:val="18"/>
                <w:szCs w:val="18"/>
              </w:rPr>
              <w:t>_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,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>x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 xml:space="preserve">_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7}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A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el conjunto de los elementos tales que </w:t>
            </w:r>
            <w:r w:rsidRPr="002A1F95">
              <w:rPr>
                <w:rFonts w:ascii="Verdana" w:hAnsi="Verdana" w:cs="MyriadPro-It"/>
                <w:i/>
                <w:iCs/>
                <w:sz w:val="18"/>
                <w:szCs w:val="18"/>
              </w:rPr>
              <w:t xml:space="preserve">x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un número natural menor que 7. </w:t>
            </w:r>
            <w:r>
              <w:rPr>
                <w:rFonts w:ascii="Verdana" w:hAnsi="Verdana" w:cs="MyriadPro-Regular"/>
                <w:sz w:val="18"/>
                <w:szCs w:val="18"/>
              </w:rPr>
              <w:t>Se propondrá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sus estudiantes seleccionar diferentes instancias del colegio y averiguar los nombres de las personas que pertenecen a cada una de ellas y defina cada conjunto por comprensión y </w:t>
            </w:r>
            <w:r>
              <w:rPr>
                <w:rFonts w:ascii="Verdana" w:hAnsi="Verdana" w:cs="MyriadPro-Regular"/>
                <w:sz w:val="18"/>
                <w:szCs w:val="18"/>
              </w:rPr>
              <w:t>extensión. Se elaborara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cartelera para representarlos conjuntos anteriores mediante un diagrama de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Venn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>.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Se determinara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por extensión y por comprensión diferentes con juntos numéricos, utilizando conceptos sobre teoría de números, como números impares, números pares, múltiplos y d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ivisores, entre otros.   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 de la 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guía 01.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Guía de clase 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Presentación del desarrollo de la actividad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Correcciones y orientaciones.</w:t>
            </w:r>
          </w:p>
          <w:p w:rsidR="005B67FF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keepNext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rero  al 15 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utilizaran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clasificaciones estudiadas en otra asignatura, por ejemplo, una sencilla clasificación taxonómica en ciencias para establecer relaciones jerárquicas entr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e elementos y con juntos.   Se </w:t>
            </w:r>
            <w:proofErr w:type="spellStart"/>
            <w:r>
              <w:rPr>
                <w:rFonts w:ascii="Verdana" w:hAnsi="Verdana" w:cs="MyriadPro-Regular"/>
                <w:sz w:val="18"/>
                <w:szCs w:val="18"/>
              </w:rPr>
              <w:t>hara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notar que cuando se menciona un conjunto, corresponde a alguna clasificación de conjuntos.   Necesariamente será: finito, infinito, unitario o vacío.   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aclarara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que el conjunto universal no constituye una clase de conjunto. El conjunto universal es un marco referencial para otros conjuntos y puede ser fi nito o infinito.   </w:t>
            </w:r>
            <w:r>
              <w:rPr>
                <w:rFonts w:ascii="Verdana" w:hAnsi="Verdana" w:cs="MyriadPro-Regular"/>
                <w:sz w:val="18"/>
                <w:szCs w:val="18"/>
              </w:rPr>
              <w:t>Se 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situación real para el mejor entendimiento del conjunto potencia.</w:t>
            </w:r>
          </w:p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destacara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relación de la unión con la disyunción “o” resaltando que los elementos que pertenecen al conjunto unión cumplen con pertenecer a uno u otro conjunto.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Se resaltara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la correspondencia de la intersección con la conjunción “y” explicando que los elementos del conjunto intersección cumplen con pertenecer a uno y otro conjunto. Solicite ejemplos de su entorno que refuercen la unión y la intersección de conjuntos, a partir del empleo de los conectivos “o”, “y”, respectivamente.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organizara a los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estudian</w:t>
            </w:r>
            <w:r>
              <w:rPr>
                <w:rFonts w:ascii="Verdana" w:hAnsi="Verdana" w:cs="MyriadPro-Regular"/>
                <w:sz w:val="18"/>
                <w:szCs w:val="18"/>
              </w:rPr>
              <w:t>tes por grupos, luego, se comprobara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 ellos las propiedades de la intersección y la unión de conjuntos a través de ejemplos concretos.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Por ejemplo puede proponer los siguientes conjuntos:</w:t>
            </w:r>
          </w:p>
          <w:p w:rsidR="005B67FF" w:rsidRPr="002A1F95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A</w:t>
            </w:r>
            <w:proofErr w:type="gramStart"/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</w:t>
            </w:r>
            <w:proofErr w:type="gramEnd"/>
            <w:r>
              <w:rPr>
                <w:rFonts w:ascii="Verdana" w:hAnsi="Verdana" w:cs="MyriadPro-Regular"/>
                <w:sz w:val="18"/>
                <w:szCs w:val="18"/>
              </w:rPr>
              <w:t>1, 2, 3}, B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>
              <w:rPr>
                <w:rFonts w:ascii="Verdana" w:hAnsi="Verdana" w:cs="MyriadPro-Regular"/>
                <w:sz w:val="18"/>
                <w:szCs w:val="18"/>
              </w:rPr>
              <w:t>{2, 3, 5, 9} y C</w:t>
            </w:r>
            <w:r w:rsidRPr="002A1F95">
              <w:rPr>
                <w:rFonts w:ascii="Verdana" w:hAnsi="Verdana" w:cs="MathematicalPi-One"/>
                <w:sz w:val="18"/>
                <w:szCs w:val="18"/>
              </w:rPr>
              <w:t>=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{3, 4}.</w:t>
            </w:r>
          </w:p>
        </w:tc>
        <w:tc>
          <w:tcPr>
            <w:tcW w:w="651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en grupo</w:t>
            </w:r>
          </w:p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01</w:t>
            </w:r>
          </w:p>
        </w:tc>
        <w:tc>
          <w:tcPr>
            <w:tcW w:w="555" w:type="pct"/>
          </w:tcPr>
          <w:p w:rsidR="005B67FF" w:rsidRDefault="005B67FF" w:rsidP="007854C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Trabajo en clase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en grupo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Correcciones y orientaciones. </w:t>
            </w: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rero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al 2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 febrero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19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46AF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Conjuntos</w:t>
            </w:r>
          </w:p>
        </w:tc>
        <w:tc>
          <w:tcPr>
            <w:tcW w:w="1685" w:type="pct"/>
          </w:tcPr>
          <w:p w:rsidR="005B67FF" w:rsidRPr="002A1F95" w:rsidRDefault="005B67FF" w:rsidP="002B0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01.</w:t>
            </w:r>
          </w:p>
        </w:tc>
        <w:tc>
          <w:tcPr>
            <w:tcW w:w="651" w:type="pct"/>
          </w:tcPr>
          <w:p w:rsidR="005B67FF" w:rsidRPr="002A1F95" w:rsidRDefault="005B67FF" w:rsidP="002B0BA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</w:tcPr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3846AF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escrita e individual. 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Default="005B67FF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25 febrero al  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24 a la 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Tahoma"/>
                <w:sz w:val="18"/>
                <w:szCs w:val="18"/>
              </w:rPr>
              <w:t>Realiza operaciones entre conjuntos.</w:t>
            </w:r>
          </w:p>
        </w:tc>
        <w:tc>
          <w:tcPr>
            <w:tcW w:w="566" w:type="pct"/>
          </w:tcPr>
          <w:p w:rsidR="005B67FF" w:rsidRPr="002A1F95" w:rsidRDefault="005B67FF" w:rsidP="000479B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 a lo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s estudiantes que consulten, en un libro de historia, datos sobre algunos sistemas de numeración de diferentes civilizaciones tanto antiguas como actuales y que construyan y utilicen instrumentos de cálculo usados por otras culturas, por ejemplo, el ábaco chino, la </w:t>
            </w:r>
            <w:proofErr w:type="spellStart"/>
            <w:r w:rsidRPr="002A1F95">
              <w:rPr>
                <w:rFonts w:ascii="Verdana" w:hAnsi="Verdana" w:cs="MyriadPro-Regular"/>
                <w:sz w:val="18"/>
                <w:szCs w:val="18"/>
              </w:rPr>
              <w:t>yupana</w:t>
            </w:r>
            <w:proofErr w:type="spellEnd"/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y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el quipo.   Al tratar los sistemas binario, ternario, cuaternario, </w:t>
            </w:r>
            <w:r>
              <w:rPr>
                <w:rFonts w:ascii="Verdana" w:hAnsi="Verdana" w:cs="MyriadPro-Regular"/>
                <w:sz w:val="18"/>
                <w:szCs w:val="18"/>
              </w:rPr>
              <w:t>se representara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cualquier número utilizando potencias de </w:t>
            </w:r>
            <w:r>
              <w:rPr>
                <w:rFonts w:ascii="Verdana" w:hAnsi="Verdana" w:cs="MyriadPro-Regular"/>
                <w:sz w:val="18"/>
                <w:szCs w:val="18"/>
              </w:rPr>
              <w:t>2, 3, 4..., respectivamente.   Se escribirá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, en el tablero, la descomposición polinómica de varios números en diferentes bases para que los estudiantes identifiquen el número representado en su respectiva base.</w:t>
            </w: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Lectura y socialización de la guía.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 Trabajo en el tablero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Participación en clase. 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4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8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2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9 a la 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88" w:type="pct"/>
          </w:tcPr>
          <w:p w:rsidR="005B67FF" w:rsidRPr="00F60042" w:rsidRDefault="005B67FF" w:rsidP="007645C3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 xml:space="preserve">Utiliza las relaciones y las      conversiones que se presentan entre </w:t>
            </w:r>
            <w:r w:rsidRPr="00F60042">
              <w:rPr>
                <w:rFonts w:ascii="Verdana" w:hAnsi="Verdana" w:cs="MyriadPro-Light"/>
                <w:sz w:val="18"/>
                <w:szCs w:val="18"/>
              </w:rPr>
              <w:lastRenderedPageBreak/>
              <w:t>los sistemas de numeración.</w:t>
            </w:r>
          </w:p>
          <w:p w:rsidR="005B67FF" w:rsidRPr="00F60042" w:rsidRDefault="005B67FF" w:rsidP="003846AF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conversiones de un sistema de numeración a otro con números de dos cifras para que los estudiantes apliquen sus estrateg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ias de </w:t>
            </w:r>
            <w:r>
              <w:rPr>
                <w:rFonts w:ascii="Verdana" w:hAnsi="Verdana" w:cs="MyriadPro-Regular"/>
                <w:sz w:val="18"/>
                <w:szCs w:val="18"/>
              </w:rPr>
              <w:lastRenderedPageBreak/>
              <w:t>cálculo mental.   Se escribirá u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n número, en el tablero, y </w:t>
            </w: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 los estudiantes que mencionen cuales son las posibles bases en las que esta expresado.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Es importante que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se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haga que los estudiantes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comprendan que en el sistema de numeración decimal, diez unidades de un orden cualquiera forman una unidad del orden inmediato superior.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grupal </w:t>
            </w:r>
          </w:p>
        </w:tc>
        <w:tc>
          <w:tcPr>
            <w:tcW w:w="555" w:type="pct"/>
            <w:vAlign w:val="center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Trabajo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individual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en clase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lastRenderedPageBreak/>
              <w:t>11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 al  15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mar</w:t>
            </w: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zo</w:t>
            </w:r>
          </w:p>
        </w:tc>
        <w:tc>
          <w:tcPr>
            <w:tcW w:w="390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34 a la 3</w:t>
            </w: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88" w:type="pct"/>
          </w:tcPr>
          <w:p w:rsidR="00093932" w:rsidRPr="00F60042" w:rsidRDefault="00093932" w:rsidP="00093932">
            <w:pPr>
              <w:autoSpaceDE w:val="0"/>
              <w:autoSpaceDN w:val="0"/>
              <w:adjustRightInd w:val="0"/>
              <w:rPr>
                <w:rFonts w:ascii="Verdana" w:hAnsi="Verdana" w:cs="MyriadPro-Light"/>
                <w:sz w:val="18"/>
                <w:szCs w:val="18"/>
              </w:rPr>
            </w:pPr>
            <w:r w:rsidRPr="00F60042">
              <w:rPr>
                <w:rFonts w:ascii="Verdana" w:hAnsi="Verdana" w:cs="MyriadPro-Light"/>
                <w:sz w:val="18"/>
                <w:szCs w:val="18"/>
              </w:rPr>
              <w:t>Utiliza las relaciones y las      conversiones que se presentan entre los sistemas de numeración.</w:t>
            </w:r>
          </w:p>
          <w:p w:rsidR="005B67FF" w:rsidRPr="002A1F95" w:rsidRDefault="005B67FF" w:rsidP="0038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6" w:type="pct"/>
          </w:tcPr>
          <w:p w:rsidR="005B67FF" w:rsidRPr="002A1F95" w:rsidRDefault="005B67FF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Sistemas de numeración</w:t>
            </w:r>
          </w:p>
        </w:tc>
        <w:tc>
          <w:tcPr>
            <w:tcW w:w="1685" w:type="pct"/>
          </w:tcPr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propondrán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actividades para que los estudiantes puedan expresar exponencialmente los números,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>ya que esto significa un paso previo a la representación en notación científica.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Se formarán 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grupos de diez estudiantes. A cada uno, </w:t>
            </w:r>
            <w:r>
              <w:rPr>
                <w:rFonts w:ascii="Verdana" w:hAnsi="Verdana" w:cs="MyriadPro-Regular"/>
                <w:sz w:val="18"/>
                <w:szCs w:val="18"/>
              </w:rPr>
              <w:t>se le entregará</w:t>
            </w:r>
            <w:r w:rsidRPr="002A1F95">
              <w:rPr>
                <w:rFonts w:ascii="Verdana" w:hAnsi="Verdana" w:cs="MyriadPro-Regular"/>
                <w:sz w:val="18"/>
                <w:szCs w:val="18"/>
              </w:rPr>
              <w:t xml:space="preserve"> una tarjeta con una cifra diferente (del 0 al 9).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Los estudiantes de cada grupo se ordenaran, según las indicaciones. Por ejemplo: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tres cifras.</w:t>
            </w: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par.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2A1F95">
              <w:rPr>
                <w:rFonts w:ascii="Verdana" w:hAnsi="Verdana" w:cs="MyriadPro-Regular"/>
                <w:sz w:val="18"/>
                <w:szCs w:val="18"/>
              </w:rPr>
              <w:t>• El mayor número de cinco cifras consecutivas.</w:t>
            </w:r>
          </w:p>
          <w:p w:rsidR="005B67FF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realizará la evaluación de unidad, previo individual y escrito sobre las actividades desarrolladas en la guía 02.</w:t>
            </w:r>
          </w:p>
          <w:p w:rsidR="005B67FF" w:rsidRDefault="005B67FF" w:rsidP="00130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5B67FF" w:rsidRPr="002A1F95" w:rsidRDefault="005B67FF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</w:tc>
        <w:tc>
          <w:tcPr>
            <w:tcW w:w="651" w:type="pct"/>
          </w:tcPr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 02</w:t>
            </w: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Trabajo individual 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 unidad</w:t>
            </w:r>
          </w:p>
        </w:tc>
        <w:tc>
          <w:tcPr>
            <w:tcW w:w="555" w:type="pct"/>
            <w:vAlign w:val="center"/>
          </w:tcPr>
          <w:p w:rsidR="005B67FF" w:rsidRDefault="005B67FF" w:rsidP="000479BB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Revisión de tarea extraclase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Desarrollo de la guía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 actividad grupal continuación.</w:t>
            </w:r>
          </w:p>
          <w:p w:rsidR="005B67FF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5B67FF" w:rsidRPr="002A1F95" w:rsidRDefault="005B67FF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 e individual.</w:t>
            </w:r>
          </w:p>
        </w:tc>
      </w:tr>
      <w:tr w:rsidR="00171D5E" w:rsidRPr="002A1F95" w:rsidTr="00171D5E">
        <w:trPr>
          <w:trHeight w:val="369"/>
        </w:trPr>
        <w:tc>
          <w:tcPr>
            <w:tcW w:w="365" w:type="pct"/>
          </w:tcPr>
          <w:p w:rsidR="00942A06" w:rsidRPr="000F6F02" w:rsidRDefault="006A6CD4" w:rsidP="006A6CD4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18 marzo al 22 de marzo</w:t>
            </w:r>
            <w:r w:rsidR="00942A06"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90" w:type="pct"/>
          </w:tcPr>
          <w:p w:rsidR="00942A06" w:rsidRPr="000F6F02" w:rsidRDefault="006A6CD4" w:rsidP="000479BB">
            <w:pPr>
              <w:spacing w:after="0" w:line="36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bCs/>
                <w:sz w:val="18"/>
                <w:szCs w:val="18"/>
                <w:lang w:eastAsia="es-ES"/>
              </w:rPr>
              <w:t>38 al 42</w:t>
            </w:r>
          </w:p>
        </w:tc>
        <w:tc>
          <w:tcPr>
            <w:tcW w:w="788" w:type="pct"/>
          </w:tcPr>
          <w:p w:rsidR="006A6CD4" w:rsidRPr="006A6CD4" w:rsidRDefault="006A6CD4" w:rsidP="006A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6A6CD4">
              <w:rPr>
                <w:rFonts w:ascii="Tahoma" w:eastAsia="Calibri" w:hAnsi="Tahoma" w:cs="Tahoma"/>
                <w:sz w:val="20"/>
                <w:szCs w:val="20"/>
              </w:rPr>
              <w:t>Plantea y resuelve problemas       que involucran operacione</w:t>
            </w:r>
            <w:r w:rsidRPr="000F6F02">
              <w:rPr>
                <w:rFonts w:ascii="Tahoma" w:eastAsia="Calibri" w:hAnsi="Tahoma" w:cs="Tahoma"/>
                <w:sz w:val="20"/>
                <w:szCs w:val="20"/>
              </w:rPr>
              <w:t>s           entre conjuntos</w:t>
            </w:r>
            <w:r w:rsidRPr="006A6CD4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942A06" w:rsidRPr="000F6F02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Resuelvo y formulo problemas utilizando propiedades básicas de la teoría de números. </w:t>
            </w:r>
          </w:p>
        </w:tc>
        <w:tc>
          <w:tcPr>
            <w:tcW w:w="566" w:type="pct"/>
          </w:tcPr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Conjuntos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6A6CD4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Sistemas de numeración </w:t>
            </w: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  <w:p w:rsidR="006A6CD4" w:rsidRPr="006A6CD4" w:rsidRDefault="006A6CD4" w:rsidP="006A6CD4">
            <w:pPr>
              <w:tabs>
                <w:tab w:val="left" w:pos="1275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0F6F0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Teoría de números</w:t>
            </w:r>
          </w:p>
          <w:p w:rsidR="00942A06" w:rsidRPr="000F6F02" w:rsidRDefault="00942A06" w:rsidP="006A6CD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5" w:type="pct"/>
          </w:tcPr>
          <w:p w:rsidR="00942A06" w:rsidRPr="000F6F02" w:rsidRDefault="006A6CD4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Actividades de nivelación </w:t>
            </w:r>
            <w:r w:rsidR="000F6F02" w:rsidRPr="000F6F02">
              <w:rPr>
                <w:rFonts w:ascii="Verdana" w:hAnsi="Verdana" w:cs="MyriadPro-Regular"/>
                <w:sz w:val="18"/>
                <w:szCs w:val="18"/>
              </w:rPr>
              <w:t>y refuerzo del primer periodo.</w:t>
            </w: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0F6F02" w:rsidRPr="000F6F02" w:rsidRDefault="000F6F02" w:rsidP="0004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</w:tcPr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0F6F02" w:rsidRPr="000F6F02" w:rsidRDefault="000F6F02" w:rsidP="000479BB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escrita</w:t>
            </w:r>
          </w:p>
        </w:tc>
        <w:tc>
          <w:tcPr>
            <w:tcW w:w="555" w:type="pct"/>
          </w:tcPr>
          <w:p w:rsidR="00942A06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0F6F02" w:rsidRPr="000F6F02" w:rsidRDefault="000F6F02" w:rsidP="000479BB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942A06" w:rsidRPr="000F6F02" w:rsidRDefault="00942A06" w:rsidP="000F6F02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 xml:space="preserve">Evaluación </w:t>
            </w:r>
            <w:r w:rsidR="000F6F02"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del proceso.</w:t>
            </w: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441454" w:rsidRPr="002A1F95" w:rsidTr="00441454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 xml:space="preserve">ASPECTOS RELEVANTES (Tiempo Real, Anecdotario, observaciones, , </w:t>
            </w:r>
            <w:proofErr w:type="spellStart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etc</w:t>
            </w:r>
            <w:proofErr w:type="spellEnd"/>
            <w:r w:rsidRPr="002A1F95">
              <w:rPr>
                <w:rFonts w:ascii="Verdana" w:eastAsia="Times New Roman" w:hAnsi="Verdana" w:cs="Tahoma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2A1F95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Fecha</w:t>
            </w: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  <w:tr w:rsidR="00441454" w:rsidRPr="002A1F95" w:rsidTr="00441454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454" w:rsidRPr="002A1F95" w:rsidRDefault="00441454" w:rsidP="003846AF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</w:tc>
      </w:tr>
    </w:tbl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ahoma"/>
          <w:color w:val="FF6600"/>
          <w:sz w:val="18"/>
          <w:szCs w:val="18"/>
          <w:lang w:eastAsia="es-ES"/>
        </w:rPr>
      </w:pPr>
    </w:p>
    <w:p w:rsidR="00441454" w:rsidRPr="002A1F95" w:rsidRDefault="00441454" w:rsidP="003846A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p w:rsidR="00441454" w:rsidRPr="002A1F95" w:rsidRDefault="00441454" w:rsidP="003846AF">
      <w:pPr>
        <w:jc w:val="both"/>
        <w:rPr>
          <w:rFonts w:ascii="Verdana" w:hAnsi="Verdana"/>
          <w:sz w:val="18"/>
          <w:szCs w:val="18"/>
        </w:rPr>
      </w:pPr>
    </w:p>
    <w:sectPr w:rsidR="00441454" w:rsidRPr="002A1F95" w:rsidSect="00441454">
      <w:headerReference w:type="default" r:id="rId7"/>
      <w:footerReference w:type="default" r:id="rId8"/>
      <w:pgSz w:w="15842" w:h="12242" w:orient="landscape" w:code="1"/>
      <w:pgMar w:top="18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B" w:rsidRDefault="000479BB">
      <w:pPr>
        <w:spacing w:after="0" w:line="240" w:lineRule="auto"/>
      </w:pPr>
      <w:r>
        <w:separator/>
      </w:r>
    </w:p>
  </w:endnote>
  <w:endnote w:type="continuationSeparator" w:id="0">
    <w:p w:rsidR="000479BB" w:rsidRDefault="0004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B" w:rsidRPr="00C80125" w:rsidRDefault="000479BB" w:rsidP="00441454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B3631C">
      <w:rPr>
        <w:rFonts w:ascii="Tahoma" w:hAnsi="Tahoma" w:cs="Tahoma"/>
        <w:noProof/>
        <w:sz w:val="20"/>
        <w:szCs w:val="20"/>
        <w:lang w:val="es-ES"/>
      </w:rPr>
      <w:t>5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B3631C">
      <w:rPr>
        <w:rFonts w:ascii="Tahoma" w:hAnsi="Tahoma" w:cs="Tahoma"/>
        <w:noProof/>
        <w:sz w:val="20"/>
        <w:szCs w:val="20"/>
        <w:lang w:val="es-ES"/>
      </w:rPr>
      <w:t>6</w:t>
    </w:r>
    <w:r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B" w:rsidRDefault="000479BB">
      <w:pPr>
        <w:spacing w:after="0" w:line="240" w:lineRule="auto"/>
      </w:pPr>
      <w:r>
        <w:separator/>
      </w:r>
    </w:p>
  </w:footnote>
  <w:footnote w:type="continuationSeparator" w:id="0">
    <w:p w:rsidR="000479BB" w:rsidRDefault="0004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0479BB" w:rsidTr="00441454">
      <w:trPr>
        <w:trHeight w:val="1693"/>
      </w:trPr>
      <w:tc>
        <w:tcPr>
          <w:tcW w:w="632" w:type="pct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0479BB" w:rsidRPr="00405E51" w:rsidRDefault="000479BB" w:rsidP="00441454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0479BB" w:rsidRDefault="000479BB" w:rsidP="00441454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0479BB" w:rsidRPr="00405E51" w:rsidRDefault="000479BB" w:rsidP="00441454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9BB" w:rsidRPr="00820012" w:rsidRDefault="000479B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4"/>
    <w:rsid w:val="000479BB"/>
    <w:rsid w:val="000903A4"/>
    <w:rsid w:val="00093932"/>
    <w:rsid w:val="000D1FD4"/>
    <w:rsid w:val="000F6F02"/>
    <w:rsid w:val="0013069E"/>
    <w:rsid w:val="00133AE3"/>
    <w:rsid w:val="00171D5E"/>
    <w:rsid w:val="00233B14"/>
    <w:rsid w:val="00243000"/>
    <w:rsid w:val="00260B61"/>
    <w:rsid w:val="00285419"/>
    <w:rsid w:val="002A1F95"/>
    <w:rsid w:val="002B0BAB"/>
    <w:rsid w:val="002B6EE1"/>
    <w:rsid w:val="00372298"/>
    <w:rsid w:val="003846AF"/>
    <w:rsid w:val="003B6748"/>
    <w:rsid w:val="003D3677"/>
    <w:rsid w:val="003E6F1E"/>
    <w:rsid w:val="00441454"/>
    <w:rsid w:val="00462015"/>
    <w:rsid w:val="004A5353"/>
    <w:rsid w:val="00563B69"/>
    <w:rsid w:val="00566B2D"/>
    <w:rsid w:val="005B67FF"/>
    <w:rsid w:val="005F04E3"/>
    <w:rsid w:val="006A6CD4"/>
    <w:rsid w:val="006D2BAA"/>
    <w:rsid w:val="006D43EA"/>
    <w:rsid w:val="006E0AE3"/>
    <w:rsid w:val="007645C3"/>
    <w:rsid w:val="007854CF"/>
    <w:rsid w:val="0078701E"/>
    <w:rsid w:val="007E7EC0"/>
    <w:rsid w:val="00817939"/>
    <w:rsid w:val="00942A06"/>
    <w:rsid w:val="00B072CF"/>
    <w:rsid w:val="00B24AB2"/>
    <w:rsid w:val="00B3631C"/>
    <w:rsid w:val="00BF6371"/>
    <w:rsid w:val="00C473E1"/>
    <w:rsid w:val="00CF6AC3"/>
    <w:rsid w:val="00E10125"/>
    <w:rsid w:val="00E12EB6"/>
    <w:rsid w:val="00E35473"/>
    <w:rsid w:val="00EB08A8"/>
    <w:rsid w:val="00EF26CE"/>
    <w:rsid w:val="00F60042"/>
    <w:rsid w:val="00F9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1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454"/>
  </w:style>
  <w:style w:type="paragraph" w:styleId="Textodeglobo">
    <w:name w:val="Balloon Text"/>
    <w:basedOn w:val="Normal"/>
    <w:link w:val="TextodegloboCar"/>
    <w:uiPriority w:val="99"/>
    <w:semiHidden/>
    <w:unhideWhenUsed/>
    <w:rsid w:val="004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5</cp:revision>
  <dcterms:created xsi:type="dcterms:W3CDTF">2013-03-27T18:05:00Z</dcterms:created>
  <dcterms:modified xsi:type="dcterms:W3CDTF">2013-03-27T18:16:00Z</dcterms:modified>
</cp:coreProperties>
</file>